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F247E" w:rsidRPr="00882B6D" w:rsidRDefault="00AF247E">
      <w:pPr>
        <w:spacing w:after="120" w:line="320" w:lineRule="auto"/>
        <w:jc w:val="center"/>
        <w:rPr>
          <w:rFonts w:ascii="Trebuchet MS" w:eastAsia="Trebuchet MS" w:hAnsi="Trebuchet MS" w:cs="Trebuchet MS"/>
          <w:b/>
          <w:sz w:val="20"/>
          <w:szCs w:val="20"/>
          <w:vertAlign w:val="subscript"/>
        </w:rPr>
      </w:pPr>
    </w:p>
    <w:p w:rsidR="00AF247E" w:rsidRDefault="00AF247E">
      <w:pPr>
        <w:tabs>
          <w:tab w:val="left" w:pos="1276"/>
        </w:tabs>
        <w:spacing w:after="120" w:line="320" w:lineRule="auto"/>
        <w:ind w:firstLine="850"/>
        <w:jc w:val="both"/>
        <w:rPr>
          <w:rFonts w:ascii="Trebuchet MS" w:eastAsia="Trebuchet MS" w:hAnsi="Trebuchet MS" w:cs="Trebuchet MS"/>
          <w:sz w:val="20"/>
          <w:szCs w:val="20"/>
        </w:rPr>
      </w:pPr>
    </w:p>
    <w:p w:rsidR="00AF247E" w:rsidRDefault="00AF247E">
      <w:pPr>
        <w:tabs>
          <w:tab w:val="left" w:pos="1276"/>
        </w:tabs>
        <w:spacing w:after="120" w:line="320" w:lineRule="auto"/>
        <w:ind w:firstLine="850"/>
        <w:jc w:val="both"/>
        <w:rPr>
          <w:rFonts w:ascii="Trebuchet MS" w:eastAsia="Trebuchet MS" w:hAnsi="Trebuchet MS" w:cs="Trebuchet MS"/>
          <w:sz w:val="20"/>
          <w:szCs w:val="20"/>
        </w:rPr>
      </w:pPr>
      <w:bookmarkStart w:id="0" w:name="6tis1wbyrag9" w:colFirst="0" w:colLast="0"/>
      <w:bookmarkEnd w:id="0"/>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LEGE</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privind activitățile prestabilite de tip ridesharing</w:t>
      </w:r>
    </w:p>
    <w:p w:rsidR="00AF247E" w:rsidRDefault="00AF247E">
      <w:pPr>
        <w:tabs>
          <w:tab w:val="left" w:pos="1276"/>
        </w:tabs>
        <w:spacing w:after="120" w:line="319" w:lineRule="auto"/>
        <w:ind w:firstLine="850"/>
        <w:jc w:val="both"/>
        <w:rPr>
          <w:rFonts w:ascii="Trebuchet MS" w:eastAsia="Trebuchet MS" w:hAnsi="Trebuchet MS" w:cs="Trebuchet MS"/>
          <w:b/>
          <w:sz w:val="20"/>
          <w:szCs w:val="20"/>
        </w:rPr>
      </w:pP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Capitolul I</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b/>
          <w:sz w:val="20"/>
          <w:szCs w:val="20"/>
        </w:rPr>
        <w:t>Dispoziții generale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 Prezenta lege reglementează autorizarea, organizarea și controlul serviciilor prestabilite de tip ridesharing.</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2.  În această lege, următorii termenii vor avea următorul înțeles: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    </w:t>
      </w:r>
      <w:r>
        <w:rPr>
          <w:rFonts w:ascii="Trebuchet MS" w:eastAsia="Trebuchet MS" w:hAnsi="Trebuchet MS" w:cs="Trebuchet MS"/>
          <w:sz w:val="20"/>
          <w:szCs w:val="20"/>
        </w:rPr>
        <w:tab/>
        <w:t>„servicii prestabilite de tip ridesharing” înseamnă deplasarea împreună a persoanelor, cu ajutorul unui autovehicul, în baza unui contract de ridesharing incheiat între pasager(i) și șoferul autovehiculului, care este facilitat de o intreprindere autorizată conform prezentei legi printr-o platformă/aplicație tehnologică online;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(b)   </w:t>
      </w:r>
      <w:r>
        <w:rPr>
          <w:rFonts w:ascii="Trebuchet MS" w:eastAsia="Trebuchet MS" w:hAnsi="Trebuchet MS" w:cs="Trebuchet MS"/>
          <w:sz w:val="20"/>
          <w:szCs w:val="20"/>
        </w:rPr>
        <w:tab/>
        <w:t>„platformă tehnologică pentru servicii prestabilite de tip ridesharing” sau „platformă tehnologică” înseamnă programul software de sine statator descărcat / instalat pe un dispozitiv mobil prin intermediul căruia membrii înregistrați interacționează și găsesc și/sau oferă curse (transport) și încheie contractul de ridesharing;</w:t>
      </w:r>
      <w:r>
        <w:rPr>
          <w:rFonts w:ascii="Trebuchet MS" w:eastAsia="Trebuchet MS" w:hAnsi="Trebuchet MS" w:cs="Trebuchet MS"/>
          <w:sz w:val="20"/>
          <w:szCs w:val="20"/>
        </w:rPr>
        <w:tab/>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(c)    </w:t>
      </w:r>
      <w:r>
        <w:rPr>
          <w:rFonts w:ascii="Trebuchet MS" w:eastAsia="Trebuchet MS" w:hAnsi="Trebuchet MS" w:cs="Trebuchet MS"/>
          <w:sz w:val="20"/>
          <w:szCs w:val="20"/>
        </w:rPr>
        <w:tab/>
        <w:t xml:space="preserve">„întreprinderile care facilitează serviciile prestabilite de tip ridesharing” sau „deținătorul platformei tehnologice” înseamnă persoana juridică care deține și/sau operează platforma tehnologică prin intermediul căreia este efectuat serviciul prestabilit de tip ridesharing;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(d)   </w:t>
      </w:r>
      <w:r>
        <w:rPr>
          <w:rFonts w:ascii="Trebuchet MS" w:eastAsia="Trebuchet MS" w:hAnsi="Trebuchet MS" w:cs="Trebuchet MS"/>
          <w:sz w:val="20"/>
          <w:szCs w:val="20"/>
        </w:rPr>
        <w:tab/>
        <w:t>„contractul de ridesharing” înseamnă contractul de transport considerat încheiat prin intermediul platformei tehnologice între un pasager și un sofer de fiecare dată când [este contractată o cursă de către un pasager], contract ce prevede termenii și condițiile în care va fi efectuată cursa de către soferul în beneficiul pasagerului]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(e)    </w:t>
      </w:r>
      <w:r>
        <w:rPr>
          <w:rFonts w:ascii="Trebuchet MS" w:eastAsia="Trebuchet MS" w:hAnsi="Trebuchet MS" w:cs="Trebuchet MS"/>
          <w:sz w:val="20"/>
          <w:szCs w:val="20"/>
        </w:rPr>
        <w:tab/>
        <w:t xml:space="preserve">„reprezentant legal” inseamna biroul de reprezentanta al detinatorului platformei tehnologice inregistrat in Romania conform prevederilor legale in vigoare pentru a-l reprezenta pe acesta in fata autoritatilor statului in legatura cu serviciile prestate pe teritoriul Romaniei.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lastRenderedPageBreak/>
        <w:t>Capitolul II</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Desfășurarea de servicii prestabilite de tip ridesharing</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Art.3.   Serviciul prestabilit de tip ridesharing poate fi accesat de pasagerii care caută o cursă sau de către soferii care oferă o cursă doar prin intermediul platformelor tehnologice online care sunt descărcate/instalate pe unul dintre dispozitivele lor mobile (telefoane inteligente, tablete etc.). Autostopul sau oferirea de curse în afara unei platforme tehnologice nu sunt considerate servicii prestabilite de tip ridesharing și sunt strict interzise [dacă nu sunt efectuate de un serviciu de transport autorizat].</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4.  Autovehiculele care efectuează serviciul prestabilit de tip ridesharing se vor conforma normelor Codului Rutier aplicabile autovehiculelor, iar acestea nu vor beneficia de niciuna dintre facilitățile de trafic aferente</w:t>
      </w:r>
      <w:r>
        <w:rPr>
          <w:sz w:val="20"/>
          <w:szCs w:val="20"/>
        </w:rPr>
        <w:t xml:space="preserve"> serviciilor de transport public (cum ar fi benzi dedicate autobuzelor, stații de taxi etc.). Pasagerii vor fi preluati și vor coborî în loc</w:t>
      </w:r>
      <w:r>
        <w:rPr>
          <w:rFonts w:ascii="Trebuchet MS" w:eastAsia="Trebuchet MS" w:hAnsi="Trebuchet MS" w:cs="Trebuchet MS"/>
          <w:sz w:val="20"/>
          <w:szCs w:val="20"/>
        </w:rPr>
        <w:t>urile unde este permisă oprirea autovehiculelor conform Codului Rutier.</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5. Întreprinderile care facilitează serviciul prestabilit de tip ridesharing trebuie să opereze o platformă tehnologică ce respectă următoarele condiții: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a)</w:t>
      </w:r>
      <w:r>
        <w:rPr>
          <w:sz w:val="20"/>
          <w:szCs w:val="20"/>
        </w:rPr>
        <w:t>platforma tehnologica tine evidenta automata a datelor de expirare a permiselor de conducere și a altor documente necesare si notifica automat soferul in scopul actualizarii documentelor incarcate pe platforma tehnologica;</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b) oferă informații cu privire la metoda utilizată pentru a calcula tariful estimat al cursei, iar metoda utilizată pentru a calcula tariful este comunicată pasagerului înainte de efectuarea cursei;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c)afișează numele și fotografia soferului care efectuează cursa, numărul de înmatriculare al autovehiculului și evaluarea/ calificativul mediu pe care îl are șoferul înainte de efectuarea cursei;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d)calculează și afișează traseul optim până la destinație utilizând tehnologie pe bază de GPS înainte de efectuarea cursei;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e)monitorizează continuu prin GPS toate cursele;</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f)le oferă pasagerilor opțiunea de a comunica cu persoanele de contact selectate în legătură cu deplasarea lor, inclusiv informații privind localizarea și momentul estimat al sosirii;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g)permite pasagerilor să raporteze deținătorului platformei tehnologice orice incidente survenite pe parcursul cursei;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h)permite pasagerilor sa dea calificative soferilor, iar soferilor sa dea calificative pasagerilor;</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i)furnizeaza serviciu de suport / asistenta a pasagerilor de catre o echipă ce este disponibilă și accesibilă timp de 24 de ore pe zi, 7 zile pe săptămână pentru incidente survenite pe durata cursei.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6.  Întreprinderile care facilitează serviciul prestabilit de tip ridesharing vor avea următoarele obligații specifice:</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a)să informeze complet și cuprinzător toți utilizatorii, la înregistrarea acestora pe platforma tehnologică, cu privire la termenii și condițiile de funcționare a platformei tehnologice, la drepturile și obligațiile lor în cursul și după utilizarea platformei tehnologice, precum si cu privire la prelucrarea datelor lor cu caracter personal; toți acești termeni și condiții trebuie să poată fi accesate cu ușurință de utilizatori prin intermediul platformei tehnologice; deținătorul platformei tehnologice le va permite doar utilizatorilor care au fost de acord în mod expres cu acești termeni și condiții să devină membri ai platformei;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b)să opereze un sistem func</w:t>
      </w:r>
      <w:r>
        <w:rPr>
          <w:sz w:val="20"/>
          <w:szCs w:val="20"/>
        </w:rPr>
        <w:t>ț</w:t>
      </w:r>
      <w:r>
        <w:rPr>
          <w:rFonts w:ascii="Trebuchet MS" w:eastAsia="Trebuchet MS" w:hAnsi="Trebuchet MS" w:cs="Trebuchet MS"/>
          <w:sz w:val="20"/>
          <w:szCs w:val="20"/>
        </w:rPr>
        <w:t>ional de asistență pentru utilizatori , disponibil pasagerilor în legătură cu orice aspecte referitoare la cursa lor;</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c)să implementeze un sistem de verificare a calității pentru serviciul prestabilit de tip ridesharing oferit de șoferii acceptați pe platformă;</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d)să le permită pasagerilor să acorde calificative pentru calitatea cursei prin intermediul platformei tehnologice;</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e)să păstreze detaliile fiecărei curse operate de șoferi pe platformă tehnologică pentru o perioadă de cel puțin doi ani;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f)să păstreze datele cu caracter personal și financiare ale șoferilor pentru cel putin doi ani de la data la care șoferul s-a retras sau a fost eliminat de pe platformă de către deținătorul platformei tehnologice; </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g)să permită accesul la platforma tehnologică doar pasagerilor care și-au înregistrat în mod corespunzător datele cu caracter personal cerute de platforma tehnologică și doar pentru șoferii care respectă dispozițiile prezentei legi; șoferii care nu pot fi identificați în mod corespunzător în baza informațiilor furnizate la înregistrare nu vor primi drept de acces la platforma tehnologică și, implici, nu vor putea accesa serviciile prestabilite de tip ridesharing;</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h)să asigure securitatea cibernetică a platformei tehnologice și a tuturor datelor încărcate de utilizatori;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7.  In cazul in care detinatorul platformei tehnologice este o intreprindere care are sediul </w:t>
      </w:r>
      <w:r>
        <w:rPr>
          <w:rFonts w:ascii="Trebuchet MS" w:eastAsia="Trebuchet MS" w:hAnsi="Trebuchet MS" w:cs="Trebuchet MS"/>
          <w:sz w:val="20"/>
          <w:szCs w:val="20"/>
        </w:rPr>
        <w:lastRenderedPageBreak/>
        <w:t xml:space="preserve">social intr-un alt stat decat Romania, acesta este obligat sa deschida si sa pastreze pe toata perioada in care isi desfasoara activitatea pe teritoriul Romaniei un birou de reprezentanta in scopul reprezentarii sale in fata autoritatilor din Romania.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8.  Detinatorul platformei tehnologice va prelucra întotdeauna toate datele cu caracter personal colectate prin intermediul platformei sale tehnologice în conformitate cu dispozițiile legale aplicabile în vigoare și va informa corespunzător, înainte de înregistrare, toți membrii, prin intermediul platformei tehnologice, cu privire la colectarea și prelucrarea datelor cu caracter personal ale acestora. Doar solicitanții care au fost de acord în mod expres cu termenii și condițiile prelucrarii datelor cu caracter personal vor fi admisi pe platforma tehnologica.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9. La solicitarea justificată a unei autorități competente, deținătorul platformei tehnologice va pune la dispoziția acesteia toate informațiile cerute pe care le detine cu privire la cursele efectuate de șoferi prin intermediul platformei tehnologice. Punerea la dispoziție a acestor informații se va realiza în conformitate cu dispozițiile legale aplicabile în vigoare.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10. Toate veniturile șoferilor obținute în urma efectuării de activități de servicii prestabilite de tip ridesharing vor fi impozitate în conformitate cu legislația fiscală în vigoare în România. Deținătorul platformei tehnologice trebuie să se asigure că platforma tehnologică emite pasagerului un document electronic care să arate tipul și valoarea tranzacției efectuate. Documentul este asimilat unei chitanțe fiscale în conformitate cu art. 319 din Legea nr. 227/2015 privind Codul Fiscal.]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11. (1) Întreprinderile care facilitează efectuarea serviciului prestabilit de tip ridesharing vor accepta și acorda acces la platforma tehnologică doar șoferilor care îndeplinesc în mod cumulativ următoarele condiții: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a)persoana trebuie să aibă o vârstă de cel puțin 21 de ani și sa dețină un certificat profesional pentru conducătorii auto </w:t>
      </w:r>
    </w:p>
    <w:p w:rsidR="00AF247E" w:rsidRDefault="00756B9A">
      <w:pPr>
        <w:tabs>
          <w:tab w:val="left" w:pos="1276"/>
        </w:tabs>
        <w:spacing w:after="120" w:line="319" w:lineRule="auto"/>
        <w:ind w:left="1440" w:hanging="540"/>
        <w:jc w:val="both"/>
        <w:rPr>
          <w:rFonts w:ascii="Trebuchet MS" w:eastAsia="Trebuchet MS" w:hAnsi="Trebuchet MS" w:cs="Trebuchet MS"/>
          <w:sz w:val="36"/>
          <w:szCs w:val="36"/>
          <w:vertAlign w:val="superscript"/>
        </w:rPr>
      </w:pPr>
      <w:r>
        <w:rPr>
          <w:rFonts w:ascii="Trebuchet MS" w:eastAsia="Trebuchet MS" w:hAnsi="Trebuchet MS" w:cs="Trebuchet MS"/>
          <w:sz w:val="20"/>
          <w:szCs w:val="20"/>
        </w:rPr>
        <w:t>b)    trebuie să aibă permis de conducere de categoria [ B ] cu o vechime de cel puțin 1 an;</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c)din certificatul de cazier judiciar al persoanei trebuie să rezulte că aceasta nu a fost condamnată pentru:</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t>-</w:t>
      </w:r>
      <w:r>
        <w:rPr>
          <w:sz w:val="20"/>
          <w:szCs w:val="20"/>
        </w:rPr>
        <w:t>infracțiuni contra siguranței pe drumurile publice;</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t>-</w:t>
      </w:r>
      <w:r>
        <w:rPr>
          <w:sz w:val="20"/>
          <w:szCs w:val="20"/>
        </w:rPr>
        <w:t>infracțiuni privind traficul și consumul de droguri;</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t>-infracțiuni contra vieții, sănătății și integrității corporale;</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t>-</w:t>
      </w:r>
      <w:r>
        <w:rPr>
          <w:sz w:val="20"/>
          <w:szCs w:val="20"/>
        </w:rPr>
        <w:t>traficul și exploatarea persoanelor vulnerabile;</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t>-infracțiuni contra libertății și integrității sexuale;</w:t>
      </w:r>
    </w:p>
    <w:p w:rsidR="00AF247E" w:rsidRDefault="00756B9A">
      <w:pPr>
        <w:tabs>
          <w:tab w:val="left" w:pos="1276"/>
        </w:tabs>
        <w:spacing w:after="120" w:line="319" w:lineRule="auto"/>
        <w:ind w:left="1360" w:hanging="18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w:t>
      </w:r>
      <w:r>
        <w:rPr>
          <w:sz w:val="20"/>
          <w:szCs w:val="20"/>
        </w:rPr>
        <w:t>infracțiuni contra patrimoniului.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d)persoana nu a avut suspendat carnetul de conducere în ultimii [ 5 ] ani pentru conducerea sub influența alcoolului sau a substanțelor stupefiante sau nu a fost implicată în accidente rutiere soldate, din culpa sa, cu rănirea sau decesul victimelor.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sz w:val="20"/>
          <w:szCs w:val="20"/>
        </w:rPr>
        <w:t>Art. 12. Autovehiculele ce vor fi utilizate de șoferi pentru cursele constituind servicii prestabilite de tip ridesharing:</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a)nu vor fi mai vechi de 15 ani;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b)vor avea inspecția tehnică periodică (ITP) realizată la fiecare 12 luni;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c)</w:t>
      </w:r>
      <w:r>
        <w:rPr>
          <w:sz w:val="20"/>
          <w:szCs w:val="20"/>
        </w:rPr>
        <w:t xml:space="preserve">vor fi, la momentul cursei, pe deplin funcționale și conforme din punct de vedere tehnic cu Codul Rutier.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13. Verificarea șoferilor și a autovehiculelor acestora va fi asigurata de catre detinatorul platformei tehnologice înainte ca șoferii să poată accesa platforma tehnologică și să ofere curse, în baza unei documentații adecvate depuse de șoferii, care să ateste conformarea cu fiecare dintre cerințele privind persoana lor și autovehiculul pe care intenționează să îl utilizeze pentru curse. Documentele și informațiile cu privire la persoana șoferilor și/sau a autovehiculelor vor fi depuse la detinatorul platformei tehnologice în [copie/original/în formă autentică etc.].</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14. În legătură cu fiecare șofer acceptat, întreprinderile care facilitează efectuarea de servicii prestabilite de tip ridesharing vor verifica caracterul actual al informațiilor și datelor furnizate inițial, la fiecare [12] luni. Toți șoferii care nu îndeplinesc criteriile prevăzute de prezenta lege vor fi respinși sau dupa caz eliminati de pe platforma tehnologică de către deținătorul platformei tehnologice.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15. Responsabilitatea colectării documentației și informațiilor de la șoferi pentru acceptarea și verificarea ulterioară a acestora într-o formă și/sau modalitate care să ateste îndeplinirea tuturor criteriilor cu privire la șofer prevăzute în prezenta lege revine detinatorului platformei tehnologice.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16. Șoferii au obligația să raporteze detinatorului platformei tehnologice orice modificare a informatiilor si datelor furnizate acestuia în maximum [5] zile lucrătoare de la apariția oricărei astfel de modificări. Detinatorul platformei tehnologice este obligat sa informeze în mod corespunzător pe șoferi cu privire la obligațiile de raportare pe care le au în temeiul prezentei legi.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17. In scopul probarii drepturilor si obligatiilor fiecareia dintre parti, soferii și deținătorii de platforme tehnologice vor incheia contracte ce vor conține termenii și condițiile colaborării lor. Contractul dintre sofer si detinatorul platformei tehnologie se incheie prin intermediul platformei tehnologice, prin confirmarea de catre sofer a optiunii „accept” în legătură cu termenii și condițiile </w:t>
      </w:r>
      <w:r>
        <w:rPr>
          <w:rFonts w:ascii="Trebuchet MS" w:eastAsia="Trebuchet MS" w:hAnsi="Trebuchet MS" w:cs="Trebuchet MS"/>
          <w:sz w:val="20"/>
          <w:szCs w:val="20"/>
        </w:rPr>
        <w:lastRenderedPageBreak/>
        <w:t>contractuale afisate pe platforma tehnologică. Continutul termenilor si conditiilor din contract precum si dovada acceptarii acestora de catre sofer vor fi tiparite de catre sofer prin intermediul platformei tehnologice in scopul probarii in fata autoritatilor de control competente a relatiilor sale contractuale cu detinatorul platformei tehnologice.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18.  In interactiunea lor cu pasagerii, soferii au urmatoarele obligatii principale: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w:t>
      </w:r>
      <w:r>
        <w:rPr>
          <w:rFonts w:ascii="Times New Roman" w:eastAsia="Times New Roman" w:hAnsi="Times New Roman" w:cs="Times New Roman"/>
          <w:sz w:val="14"/>
          <w:szCs w:val="14"/>
        </w:rPr>
        <w:tab/>
      </w:r>
      <w:r>
        <w:rPr>
          <w:rFonts w:ascii="Trebuchet MS" w:eastAsia="Trebuchet MS" w:hAnsi="Trebuchet MS" w:cs="Trebuchet MS"/>
          <w:sz w:val="20"/>
          <w:szCs w:val="20"/>
        </w:rPr>
        <w:t>odata contractata cursa prin intermediul platformei tehnologice sa nu refuze efectuarea acesteia in conditiile intial agreate;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b)</w:t>
      </w:r>
      <w:r>
        <w:rPr>
          <w:rFonts w:ascii="Times New Roman" w:eastAsia="Times New Roman" w:hAnsi="Times New Roman" w:cs="Times New Roman"/>
          <w:sz w:val="14"/>
          <w:szCs w:val="14"/>
        </w:rPr>
        <w:tab/>
      </w:r>
      <w:r>
        <w:rPr>
          <w:rFonts w:ascii="Trebuchet MS" w:eastAsia="Trebuchet MS" w:hAnsi="Trebuchet MS" w:cs="Trebuchet MS"/>
          <w:sz w:val="20"/>
          <w:szCs w:val="20"/>
        </w:rPr>
        <w:t xml:space="preserve">sa nu solicite plata de catre pasager a altei sume de bani in schimbul serviciului efectuat, alta decat cea calculată și menționată pe platforma tehnologică;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c)</w:t>
      </w:r>
      <w:r>
        <w:rPr>
          <w:rFonts w:ascii="Times New Roman" w:eastAsia="Times New Roman" w:hAnsi="Times New Roman" w:cs="Times New Roman"/>
          <w:sz w:val="14"/>
          <w:szCs w:val="14"/>
        </w:rPr>
        <w:tab/>
      </w:r>
      <w:r>
        <w:rPr>
          <w:rFonts w:ascii="Trebuchet MS" w:eastAsia="Trebuchet MS" w:hAnsi="Trebuchet MS" w:cs="Trebuchet MS"/>
          <w:sz w:val="20"/>
          <w:szCs w:val="20"/>
        </w:rPr>
        <w:t>sa transporte pasagerul pe traseul optim sau dupa caz pe traseul solicitat de acesta;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d)</w:t>
      </w:r>
      <w:r>
        <w:rPr>
          <w:rFonts w:ascii="Times New Roman" w:eastAsia="Times New Roman" w:hAnsi="Times New Roman" w:cs="Times New Roman"/>
          <w:sz w:val="14"/>
          <w:szCs w:val="14"/>
        </w:rPr>
        <w:tab/>
      </w:r>
      <w:r>
        <w:rPr>
          <w:rFonts w:ascii="Trebuchet MS" w:eastAsia="Trebuchet MS" w:hAnsi="Trebuchet MS" w:cs="Trebuchet MS"/>
          <w:sz w:val="20"/>
          <w:szCs w:val="20"/>
        </w:rPr>
        <w:t>sa nu incarce autoturismul peste capacitatea de transport autorizata si sa nu transporte mai multe persoane decat numarul maxim autorizat pentru autovehiculul utilizat;</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e)</w:t>
      </w:r>
      <w:r>
        <w:rPr>
          <w:rFonts w:ascii="Times New Roman" w:eastAsia="Times New Roman" w:hAnsi="Times New Roman" w:cs="Times New Roman"/>
          <w:sz w:val="14"/>
          <w:szCs w:val="14"/>
        </w:rPr>
        <w:tab/>
      </w:r>
      <w:r>
        <w:rPr>
          <w:rFonts w:ascii="Trebuchet MS" w:eastAsia="Trebuchet MS" w:hAnsi="Trebuchet MS" w:cs="Trebuchet MS"/>
          <w:sz w:val="20"/>
          <w:szCs w:val="20"/>
        </w:rPr>
        <w:t>sa se supuna controlului organelor de control rutier si sa prezinte acestora documentele prevazute de prezenta lege;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f)</w:t>
      </w:r>
      <w:r>
        <w:rPr>
          <w:rFonts w:ascii="Times New Roman" w:eastAsia="Times New Roman" w:hAnsi="Times New Roman" w:cs="Times New Roman"/>
          <w:sz w:val="14"/>
          <w:szCs w:val="14"/>
        </w:rPr>
        <w:tab/>
      </w:r>
      <w:r>
        <w:rPr>
          <w:rFonts w:ascii="Trebuchet MS" w:eastAsia="Trebuchet MS" w:hAnsi="Trebuchet MS" w:cs="Trebuchet MS"/>
          <w:sz w:val="20"/>
          <w:szCs w:val="20"/>
        </w:rPr>
        <w:t>sa detina o polita de raspundere civila legala.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19. Atunci când își desfășoară activitatea, șoferul trebuie să dețină la bordul autoturismului și să prezinte următoarele documente organului de control rutier:</w:t>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a)permisul de conducere;</w:t>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b)certificatul de înmatriculare al autovehiculului;</w:t>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c)polița de răspundere civilă legala  si polita de raspundere civila auto;</w:t>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d)[o copie tiparita a contractului incheiat intre detinatorul platformei tehnologice si sofer conform art. [17] de mai sus]</w:t>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e)copie dupa autorizatia de functionare emisa detinatorului platformei tehnologice prin intermediul careia soferul efectueaza cursa ce constituie obiectul controlului;</w:t>
      </w:r>
      <w:r>
        <w:rPr>
          <w:rFonts w:ascii="Trebuchet MS" w:eastAsia="Trebuchet MS" w:hAnsi="Trebuchet MS" w:cs="Trebuchet MS"/>
          <w:sz w:val="20"/>
          <w:szCs w:val="20"/>
        </w:rPr>
        <w:tab/>
      </w:r>
    </w:p>
    <w:p w:rsidR="00AF247E" w:rsidRDefault="00756B9A">
      <w:pPr>
        <w:tabs>
          <w:tab w:val="left" w:pos="1276"/>
        </w:tabs>
        <w:spacing w:after="120" w:line="319" w:lineRule="auto"/>
        <w:ind w:left="1520" w:hanging="620"/>
        <w:jc w:val="both"/>
        <w:rPr>
          <w:rFonts w:ascii="Trebuchet MS" w:eastAsia="Trebuchet MS" w:hAnsi="Trebuchet MS" w:cs="Trebuchet MS"/>
          <w:sz w:val="20"/>
          <w:szCs w:val="20"/>
        </w:rPr>
      </w:pPr>
      <w:r>
        <w:rPr>
          <w:rFonts w:ascii="Trebuchet MS" w:eastAsia="Trebuchet MS" w:hAnsi="Trebuchet MS" w:cs="Trebuchet MS"/>
          <w:sz w:val="20"/>
          <w:szCs w:val="20"/>
        </w:rPr>
        <w:t>f)toate celelalte documente care trebuie prezentate organului de control, conform Codului Rutier, în cazul unui control rutier;</w:t>
      </w:r>
    </w:p>
    <w:p w:rsidR="00AF247E" w:rsidRDefault="00AF247E">
      <w:pPr>
        <w:tabs>
          <w:tab w:val="left" w:pos="1276"/>
        </w:tabs>
        <w:spacing w:after="120" w:line="319" w:lineRule="auto"/>
        <w:ind w:firstLine="850"/>
        <w:jc w:val="both"/>
        <w:rPr>
          <w:rFonts w:ascii="Trebuchet MS" w:eastAsia="Trebuchet MS" w:hAnsi="Trebuchet MS" w:cs="Trebuchet MS"/>
          <w:sz w:val="20"/>
          <w:szCs w:val="20"/>
        </w:rPr>
      </w:pP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Capitolul III</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rFonts w:ascii="Trebuchet MS" w:eastAsia="Trebuchet MS" w:hAnsi="Trebuchet MS" w:cs="Trebuchet MS"/>
          <w:b/>
          <w:sz w:val="20"/>
          <w:szCs w:val="20"/>
        </w:rPr>
        <w:t>Autorizarea întreprinderilor care facilitează efectuarea de servicii prestabilite de tip ridesharing</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Art.20. Serviciul prestabilit de tip ridesharing poate fi facilitat doar de întreprinderile autorizate în acest sens în conformitate cu prevederile prezentei legi. Facilitarea serviciului prestabilit de tip ridesharing fără autorizare este interzisă.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21. Prestarea de servicii prestabilite de tip ridesharing pe raza unei unități administrativ-teritoriale locale va fi supusă autorizării de către autoritățile administrației publice locale ce administreaza unitatea adminstrativ teritoriala respectiva.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22. Autoritățile administrației publice locale vor autoriza sau vor respinge autorizarea unei întreprinderi să faciliteze activitățile de servicii prestabilite de tip ridesharing pe baza unei analize a conformării caracteristicilor platformei tehnologice cu cerințele prezentei legi si a celorlalte legi aplicabile in vigoare.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23. Pentru obținerea autorizației, deținătorul platformei tehnologice va depune la autoritatea administrației publice locale următoarele documente și informații: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a)</w:t>
      </w:r>
      <w:r>
        <w:rPr>
          <w:sz w:val="20"/>
          <w:szCs w:val="20"/>
        </w:rPr>
        <w:t>certificatul de înregistrare la registrul comerțului din țara de origine precum si dovada numirii reprezentantului sau legal, in cazul in care este o societate cu sediul in afara Romaniei;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b)o descriere a întreprinderii;</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c)o declarație a conducerii întreprinderii ca aceasta  nu se afla în insolvență;  </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d)o scrisoare de bonitate bancară emisă de o bancă;</w:t>
      </w:r>
    </w:p>
    <w:p w:rsidR="00AF247E" w:rsidRDefault="00756B9A">
      <w:pPr>
        <w:tabs>
          <w:tab w:val="left" w:pos="1276"/>
        </w:tabs>
        <w:spacing w:after="120" w:line="319" w:lineRule="auto"/>
        <w:ind w:left="1440" w:hanging="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e)o descriere a caracteristicilor și funcțiilor platformei tehnologice, a modalitatii de functionare și a conformării acesteia cu cerințele prezentei legi precum si indicarea adresei de web/internet de unde aceasta poate fi descărcată/instalată pentru a fi analizată / testata de autoritatea competentă [cont gratuit pentru ca autoritatea administrației publice locale să testeze aplicația? TBD];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24. În termen de 30 zile lucrătoare de la depunerea documentației cerute prin prezenta lege, autoritatea administrației publice locale va emite autorizația de facilitare a serviciului prestabilit de tip ridesharing în favoarea solicitantului sau, dupa caz, va refuza emiterea acesteia în baza unei decizii scrise argumentate in baza art. 22 de mai sus. Autorizația se emite pe o perioadă nedeterminată cu conditia ca detinatorul platformei tehnologice in favoarea caruia a fost emisa sa indeplineasca si sa se conformeze prezentei legi pe toata perioada in care isi desfasoara activitatea.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 Art. 25. Decizia autorității administrației publice locale de respingere a cererii de emitere a autorizatiei poate fi  atacata în fața instanțelor de judecata competente de catre solicitant în termen de [30] zile de la comunicarea deciziei de respingere.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sz w:val="20"/>
          <w:szCs w:val="20"/>
        </w:rPr>
        <w:t xml:space="preserve">Art. 26. Autorizatia emisa de autoritatea administrației publice locale intra in vigoare dupa plata </w:t>
      </w:r>
      <w:r>
        <w:rPr>
          <w:sz w:val="20"/>
          <w:szCs w:val="20"/>
        </w:rPr>
        <w:lastRenderedPageBreak/>
        <w:t>de catre detinatorul platformei tehnologice catre autoritatea administrației publice locale a unei taxe de autorizare de [50.000] LEI. Neplata taxei in termen de [30] zile de la data emiterii autorizatiei indreptateste autoritatea emitenta sa anuleze autorizatia.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sz w:val="20"/>
          <w:szCs w:val="20"/>
        </w:rPr>
        <w:t xml:space="preserve">Art. 27. Detinatorii de platforme tehnologice autorizati sa desfasoare activitati pe teritoriul Romaniei vor plati catre autoritatea administrației publice locale, anual, o taxa de [50.000] LEI. Neplata taxei anuale in termen de [30] zile de la data scadenta indreptateste autoritatea emitenta sa suspende autorizatia pana la plata taxei anuale. Neplata taxei anuale de catre detinatorul platformei tehnologice in termen de 90 de zile de la data scadenta indreptateste autoritatea emitenta sa anuleze autorizatia.  </w:t>
      </w:r>
    </w:p>
    <w:p w:rsidR="00AF247E" w:rsidRDefault="00756B9A">
      <w:pPr>
        <w:tabs>
          <w:tab w:val="left" w:pos="1276"/>
        </w:tabs>
        <w:spacing w:after="120" w:line="319" w:lineRule="auto"/>
        <w:ind w:firstLine="850"/>
        <w:jc w:val="center"/>
        <w:rPr>
          <w:rFonts w:ascii="Trebuchet MS" w:eastAsia="Trebuchet MS" w:hAnsi="Trebuchet MS" w:cs="Trebuchet MS"/>
          <w:sz w:val="20"/>
          <w:szCs w:val="20"/>
        </w:rPr>
      </w:pPr>
      <w:r>
        <w:rPr>
          <w:rFonts w:ascii="Trebuchet MS" w:eastAsia="Trebuchet MS" w:hAnsi="Trebuchet MS" w:cs="Trebuchet MS"/>
          <w:sz w:val="20"/>
          <w:szCs w:val="20"/>
        </w:rPr>
        <w:t>Capitolul IV</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b/>
          <w:sz w:val="20"/>
          <w:szCs w:val="20"/>
        </w:rPr>
        <w:t>Sancțiuni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28. Constituie contraventie si se sanctioneaza cu amenda de la [5.000] LEI la [50.000] LEI, urmatoarele fapte ale detinatorului platformei tehnologice:</w:t>
      </w:r>
    </w:p>
    <w:p w:rsidR="00AF247E" w:rsidRDefault="00756B9A">
      <w:pPr>
        <w:tabs>
          <w:tab w:val="left" w:pos="1276"/>
        </w:tabs>
        <w:spacing w:after="120" w:line="319" w:lineRule="auto"/>
        <w:ind w:left="840"/>
        <w:jc w:val="both"/>
        <w:rPr>
          <w:rFonts w:ascii="Trebuchet MS" w:eastAsia="Trebuchet MS" w:hAnsi="Trebuchet MS" w:cs="Trebuchet MS"/>
          <w:sz w:val="20"/>
          <w:szCs w:val="20"/>
        </w:rPr>
      </w:pPr>
      <w:r>
        <w:rPr>
          <w:rFonts w:ascii="Trebuchet MS" w:eastAsia="Trebuchet MS" w:hAnsi="Trebuchet MS" w:cs="Trebuchet MS"/>
          <w:sz w:val="20"/>
          <w:szCs w:val="20"/>
        </w:rPr>
        <w:t>a)acceptarea pe platforma tehnologica a unor soferi care nu indeplinesc conditiile cerute de prezenta lege pentru a presta servicii prestabilite de tip ridesharing;</w:t>
      </w:r>
    </w:p>
    <w:p w:rsidR="00AF247E" w:rsidRDefault="00756B9A">
      <w:pPr>
        <w:tabs>
          <w:tab w:val="left" w:pos="1276"/>
        </w:tabs>
        <w:spacing w:after="120" w:line="319" w:lineRule="auto"/>
        <w:ind w:left="840"/>
        <w:jc w:val="both"/>
        <w:rPr>
          <w:rFonts w:ascii="Trebuchet MS" w:eastAsia="Trebuchet MS" w:hAnsi="Trebuchet MS" w:cs="Trebuchet MS"/>
          <w:sz w:val="20"/>
          <w:szCs w:val="20"/>
        </w:rPr>
      </w:pPr>
      <w:r>
        <w:rPr>
          <w:rFonts w:ascii="Trebuchet MS" w:eastAsia="Trebuchet MS" w:hAnsi="Trebuchet MS" w:cs="Trebuchet MS"/>
          <w:sz w:val="20"/>
          <w:szCs w:val="20"/>
        </w:rPr>
        <w:t>b)neverificarea [anuala] a indeplinirii de catre soferi a conditiilor necesare prestarii de servicii prestabilite de tip ridesharing ori neactualizarea la timp a documentatiei pastrate de detinatorul platformei tehnologice cu privire la soferii sai;</w:t>
      </w:r>
    </w:p>
    <w:p w:rsidR="00AF247E" w:rsidRDefault="00756B9A">
      <w:pPr>
        <w:tabs>
          <w:tab w:val="left" w:pos="1276"/>
        </w:tabs>
        <w:spacing w:after="120" w:line="319" w:lineRule="auto"/>
        <w:ind w:left="840"/>
        <w:jc w:val="both"/>
        <w:rPr>
          <w:rFonts w:ascii="Trebuchet MS" w:eastAsia="Trebuchet MS" w:hAnsi="Trebuchet MS" w:cs="Trebuchet MS"/>
          <w:sz w:val="20"/>
          <w:szCs w:val="20"/>
        </w:rPr>
      </w:pPr>
      <w:r>
        <w:rPr>
          <w:rFonts w:ascii="Trebuchet MS" w:eastAsia="Trebuchet MS" w:hAnsi="Trebuchet MS" w:cs="Trebuchet MS"/>
          <w:sz w:val="20"/>
          <w:szCs w:val="20"/>
        </w:rPr>
        <w:t>c)nerespectarea confidentialitatii datelor cu caracter personal ale utilizatorilor platformei tehnologice;</w:t>
      </w:r>
    </w:p>
    <w:p w:rsidR="00AF247E" w:rsidRDefault="00756B9A">
      <w:pPr>
        <w:tabs>
          <w:tab w:val="left" w:pos="1276"/>
        </w:tabs>
        <w:spacing w:after="120" w:line="319" w:lineRule="auto"/>
        <w:ind w:left="840"/>
        <w:jc w:val="both"/>
        <w:rPr>
          <w:rFonts w:ascii="Trebuchet MS" w:eastAsia="Trebuchet MS" w:hAnsi="Trebuchet MS" w:cs="Trebuchet MS"/>
          <w:sz w:val="20"/>
          <w:szCs w:val="20"/>
        </w:rPr>
      </w:pPr>
      <w:r>
        <w:rPr>
          <w:rFonts w:ascii="Trebuchet MS" w:eastAsia="Trebuchet MS" w:hAnsi="Trebuchet MS" w:cs="Trebuchet MS"/>
          <w:sz w:val="20"/>
          <w:szCs w:val="20"/>
        </w:rPr>
        <w:t>d)</w:t>
      </w:r>
      <w:r>
        <w:rPr>
          <w:rFonts w:ascii="Times New Roman" w:eastAsia="Times New Roman" w:hAnsi="Times New Roman" w:cs="Times New Roman"/>
          <w:sz w:val="14"/>
          <w:szCs w:val="14"/>
        </w:rPr>
        <w:t xml:space="preserve">    [</w:t>
      </w:r>
      <w:r>
        <w:rPr>
          <w:rFonts w:ascii="Trebuchet MS" w:eastAsia="Trebuchet MS" w:hAnsi="Trebuchet MS" w:cs="Trebuchet MS"/>
          <w:sz w:val="20"/>
          <w:szCs w:val="20"/>
        </w:rPr>
        <w:t>schimbarea termenilor si conditiilor de utilizare a plaformei tehnologice fara notificarea prealabila a utilizatorilor];</w:t>
      </w:r>
    </w:p>
    <w:p w:rsidR="00AF247E" w:rsidRDefault="00756B9A">
      <w:pPr>
        <w:tabs>
          <w:tab w:val="left" w:pos="1276"/>
        </w:tabs>
        <w:spacing w:after="120" w:line="319" w:lineRule="auto"/>
        <w:ind w:left="840"/>
        <w:jc w:val="both"/>
        <w:rPr>
          <w:rFonts w:ascii="Trebuchet MS" w:eastAsia="Trebuchet MS" w:hAnsi="Trebuchet MS" w:cs="Trebuchet MS"/>
          <w:sz w:val="20"/>
          <w:szCs w:val="20"/>
        </w:rPr>
      </w:pPr>
      <w:r>
        <w:rPr>
          <w:rFonts w:ascii="Trebuchet MS" w:eastAsia="Trebuchet MS" w:hAnsi="Trebuchet MS" w:cs="Trebuchet MS"/>
          <w:sz w:val="20"/>
          <w:szCs w:val="20"/>
        </w:rPr>
        <w:t>e)prelucrarea datelor cu caracter personal pentru alte scopuri decat cele pentru care a fost obtinut acordul expres.</w:t>
      </w:r>
    </w:p>
    <w:p w:rsidR="00AF247E" w:rsidRDefault="00AF247E">
      <w:pPr>
        <w:tabs>
          <w:tab w:val="left" w:pos="1276"/>
        </w:tabs>
        <w:spacing w:after="120" w:line="319" w:lineRule="auto"/>
        <w:ind w:left="840"/>
        <w:jc w:val="both"/>
        <w:rPr>
          <w:rFonts w:ascii="Trebuchet MS" w:eastAsia="Trebuchet MS" w:hAnsi="Trebuchet MS" w:cs="Trebuchet MS"/>
          <w:sz w:val="20"/>
          <w:szCs w:val="20"/>
        </w:rPr>
      </w:pP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 xml:space="preserve">Art. 29.         </w:t>
      </w:r>
      <w:r>
        <w:rPr>
          <w:rFonts w:ascii="Trebuchet MS" w:eastAsia="Trebuchet MS" w:hAnsi="Trebuchet MS" w:cs="Trebuchet MS"/>
          <w:sz w:val="20"/>
          <w:szCs w:val="20"/>
        </w:rPr>
        <w:tab/>
        <w:t xml:space="preserve">Facilitarea, coordonarea, intermedierea sau prestarea de servicii prestabilite de tip ridesharing de catre o persoana fizica sau juridica in lipsa unei autorizatii valabile constituie contraventie, daca potrivit legii penale fapta nu constituie infractiune, si se sanctioneaza cu amenda de [5]% din cifra de afaceri realizata pe teritoriul Romaniei. </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30. Constituie contraventie, daca potrivit legii penale fapta nu constituie infractiune, si se sanctioneaza cu amenda de [3.000] LEI, urmatoarele fapte ale soferului:</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a)solicitarea de sume de bani suplimentare costului cursei afisat pe platforma tehnologica;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b)neinformarea la timp a detinatorului platformei tehnologice cu privire la modificarea oricaror informatii cu privire la persoana sa ori a autovehiculului utilizat, depuse la detinatorul platformei tehnologice in scopul admiterii sale pe platforma tehnologica;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c)efectuarea unei curse cu un alt autovehicul decat cel inregistrat pe platforma tehnologica;</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d)lipsa de la bordul autovehiculului a oricaruia dintre documentele prevazute la art. [19] de mai sus;</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31. Sanctionarea contraventionala repetata, de cel putin [3] ori in decursul a [90] zile, a unui sofer de catre autoritatile competente pentru nerespectarea obligatiilor ce-i revin conform prezentei legi obliga detinatorul platformei tehnologice sa elimine de indata soferul respectiv de pe platforma tehnologica.</w:t>
      </w:r>
    </w:p>
    <w:p w:rsidR="00F931C0" w:rsidRDefault="00F931C0">
      <w:pPr>
        <w:tabs>
          <w:tab w:val="left" w:pos="1276"/>
        </w:tabs>
        <w:spacing w:after="120" w:line="319" w:lineRule="auto"/>
        <w:ind w:firstLine="850"/>
        <w:jc w:val="center"/>
        <w:rPr>
          <w:rFonts w:ascii="Trebuchet MS" w:eastAsia="Trebuchet MS" w:hAnsi="Trebuchet MS" w:cs="Trebuchet MS"/>
          <w:sz w:val="20"/>
          <w:szCs w:val="20"/>
        </w:rPr>
      </w:pPr>
    </w:p>
    <w:p w:rsidR="00AF247E" w:rsidRDefault="00756B9A">
      <w:pPr>
        <w:tabs>
          <w:tab w:val="left" w:pos="1276"/>
        </w:tabs>
        <w:spacing w:after="120" w:line="319" w:lineRule="auto"/>
        <w:ind w:firstLine="850"/>
        <w:jc w:val="center"/>
        <w:rPr>
          <w:rFonts w:ascii="Trebuchet MS" w:eastAsia="Trebuchet MS" w:hAnsi="Trebuchet MS" w:cs="Trebuchet MS"/>
          <w:sz w:val="20"/>
          <w:szCs w:val="20"/>
        </w:rPr>
      </w:pPr>
      <w:r>
        <w:rPr>
          <w:rFonts w:ascii="Trebuchet MS" w:eastAsia="Trebuchet MS" w:hAnsi="Trebuchet MS" w:cs="Trebuchet MS"/>
          <w:sz w:val="20"/>
          <w:szCs w:val="20"/>
        </w:rPr>
        <w:t>Capitolul V</w:t>
      </w:r>
    </w:p>
    <w:p w:rsidR="00AF247E" w:rsidRDefault="00756B9A">
      <w:pPr>
        <w:tabs>
          <w:tab w:val="left" w:pos="1276"/>
        </w:tabs>
        <w:spacing w:after="120" w:line="319" w:lineRule="auto"/>
        <w:ind w:firstLine="850"/>
        <w:jc w:val="center"/>
        <w:rPr>
          <w:rFonts w:ascii="Trebuchet MS" w:eastAsia="Trebuchet MS" w:hAnsi="Trebuchet MS" w:cs="Trebuchet MS"/>
          <w:b/>
          <w:sz w:val="20"/>
          <w:szCs w:val="20"/>
        </w:rPr>
      </w:pPr>
      <w:r>
        <w:rPr>
          <w:b/>
          <w:sz w:val="20"/>
          <w:szCs w:val="20"/>
        </w:rPr>
        <w:t>Dispoziții tranzitorii și finale</w:t>
      </w:r>
    </w:p>
    <w:p w:rsidR="00AF247E" w:rsidRDefault="00756B9A">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3</w:t>
      </w:r>
      <w:r w:rsidR="00F931C0">
        <w:rPr>
          <w:rFonts w:ascii="Trebuchet MS" w:eastAsia="Trebuchet MS" w:hAnsi="Trebuchet MS" w:cs="Trebuchet MS"/>
          <w:sz w:val="20"/>
          <w:szCs w:val="20"/>
        </w:rPr>
        <w:t>2</w:t>
      </w:r>
      <w:r>
        <w:rPr>
          <w:rFonts w:ascii="Trebuchet MS" w:eastAsia="Trebuchet MS" w:hAnsi="Trebuchet MS" w:cs="Trebuchet MS"/>
          <w:sz w:val="20"/>
          <w:szCs w:val="20"/>
        </w:rPr>
        <w:t>. În termen de [30] de zile de la data adoptării acestei legi, toate autoritățile administrației publice locale vor emite toate deciziile și reglementările interne și locale necesare în vederea îndeplinirii atribuțiilor ce le revin conform prezentei legi.</w:t>
      </w:r>
    </w:p>
    <w:p w:rsidR="00AF247E" w:rsidRDefault="00756B9A" w:rsidP="00462AAF">
      <w:pPr>
        <w:tabs>
          <w:tab w:val="left" w:pos="1276"/>
        </w:tabs>
        <w:spacing w:after="120" w:line="319" w:lineRule="auto"/>
        <w:ind w:firstLine="850"/>
        <w:jc w:val="both"/>
        <w:rPr>
          <w:rFonts w:ascii="Trebuchet MS" w:eastAsia="Trebuchet MS" w:hAnsi="Trebuchet MS" w:cs="Trebuchet MS"/>
          <w:sz w:val="20"/>
          <w:szCs w:val="20"/>
        </w:rPr>
      </w:pPr>
      <w:r>
        <w:rPr>
          <w:rFonts w:ascii="Trebuchet MS" w:eastAsia="Trebuchet MS" w:hAnsi="Trebuchet MS" w:cs="Trebuchet MS"/>
          <w:sz w:val="20"/>
          <w:szCs w:val="20"/>
        </w:rPr>
        <w:t>Art. 3</w:t>
      </w:r>
      <w:r w:rsidR="00F931C0">
        <w:rPr>
          <w:rFonts w:ascii="Trebuchet MS" w:eastAsia="Trebuchet MS" w:hAnsi="Trebuchet MS" w:cs="Trebuchet MS"/>
          <w:sz w:val="20"/>
          <w:szCs w:val="20"/>
        </w:rPr>
        <w:t>3</w:t>
      </w:r>
      <w:bookmarkStart w:id="1" w:name="_GoBack"/>
      <w:bookmarkEnd w:id="1"/>
      <w:r>
        <w:rPr>
          <w:rFonts w:ascii="Trebuchet MS" w:eastAsia="Trebuchet MS" w:hAnsi="Trebuchet MS" w:cs="Trebuchet MS"/>
          <w:sz w:val="20"/>
          <w:szCs w:val="20"/>
        </w:rPr>
        <w:t>. Toate întreprinderile care facilitează servicii prestabilite de tip ridesharing la data adoptării prezentei legi vor beneficia de o perioadă de tranziție de [6 luni] de la data la care autoritatea administrației publice locale pe raza căreia funcționează și-a îndeplinit obligațiile prevăzute la art. 34 de mai sus, perioadă în care pot face modificarile necesare activitatii lor pentru a se conforma pe dep</w:t>
      </w:r>
      <w:r w:rsidR="00462AAF">
        <w:rPr>
          <w:rFonts w:ascii="Trebuchet MS" w:eastAsia="Trebuchet MS" w:hAnsi="Trebuchet MS" w:cs="Trebuchet MS"/>
          <w:sz w:val="20"/>
          <w:szCs w:val="20"/>
        </w:rPr>
        <w:t>lin prevederilor prezentei legi.</w:t>
      </w:r>
    </w:p>
    <w:p w:rsidR="00AF247E" w:rsidRDefault="00AF247E" w:rsidP="00462AAF">
      <w:pPr>
        <w:tabs>
          <w:tab w:val="left" w:pos="1276"/>
        </w:tabs>
        <w:spacing w:after="120" w:line="319" w:lineRule="auto"/>
        <w:ind w:firstLine="860"/>
        <w:jc w:val="both"/>
        <w:rPr>
          <w:rFonts w:ascii="Trebuchet MS" w:eastAsia="Trebuchet MS" w:hAnsi="Trebuchet MS" w:cs="Trebuchet MS"/>
          <w:sz w:val="20"/>
          <w:szCs w:val="20"/>
        </w:rPr>
      </w:pPr>
    </w:p>
    <w:p w:rsidR="00AF247E" w:rsidRDefault="00AF247E">
      <w:pPr>
        <w:tabs>
          <w:tab w:val="left" w:pos="1276"/>
        </w:tabs>
        <w:spacing w:after="120"/>
        <w:ind w:firstLine="850"/>
        <w:jc w:val="both"/>
        <w:rPr>
          <w:rFonts w:ascii="Trebuchet MS" w:eastAsia="Trebuchet MS" w:hAnsi="Trebuchet MS" w:cs="Trebuchet MS"/>
          <w:sz w:val="16"/>
          <w:szCs w:val="16"/>
        </w:rPr>
      </w:pPr>
    </w:p>
    <w:p w:rsidR="00AF247E" w:rsidRDefault="00AF247E">
      <w:pPr>
        <w:tabs>
          <w:tab w:val="left" w:pos="1276"/>
        </w:tabs>
        <w:spacing w:after="120" w:line="320" w:lineRule="auto"/>
        <w:ind w:firstLine="850"/>
        <w:jc w:val="both"/>
        <w:rPr>
          <w:rFonts w:ascii="Trebuchet MS" w:eastAsia="Trebuchet MS" w:hAnsi="Trebuchet MS" w:cs="Trebuchet MS"/>
          <w:sz w:val="20"/>
          <w:szCs w:val="20"/>
        </w:rPr>
      </w:pPr>
    </w:p>
    <w:sectPr w:rsidR="00AF247E" w:rsidSect="00221D61">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748" w:rsidRDefault="00B76748">
      <w:pPr>
        <w:spacing w:line="240" w:lineRule="auto"/>
      </w:pPr>
      <w:r>
        <w:separator/>
      </w:r>
    </w:p>
  </w:endnote>
  <w:endnote w:type="continuationSeparator" w:id="1">
    <w:p w:rsidR="00B76748" w:rsidRDefault="00B767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7E" w:rsidRDefault="00221D61">
    <w:pPr>
      <w:tabs>
        <w:tab w:val="center" w:pos="4680"/>
        <w:tab w:val="right" w:pos="9360"/>
      </w:tabs>
      <w:spacing w:line="240" w:lineRule="auto"/>
      <w:jc w:val="center"/>
    </w:pPr>
    <w:r>
      <w:fldChar w:fldCharType="begin"/>
    </w:r>
    <w:r w:rsidR="00756B9A">
      <w:instrText>PAGE</w:instrText>
    </w:r>
    <w:r>
      <w:fldChar w:fldCharType="separate"/>
    </w:r>
    <w:r w:rsidR="00A036F0">
      <w:rPr>
        <w:noProof/>
      </w:rPr>
      <w:t>2</w:t>
    </w:r>
    <w:r>
      <w:fldChar w:fldCharType="end"/>
    </w:r>
  </w:p>
  <w:p w:rsidR="00AF247E" w:rsidRDefault="00AF247E">
    <w:pPr>
      <w:tabs>
        <w:tab w:val="center" w:pos="4680"/>
        <w:tab w:val="right" w:pos="9360"/>
      </w:tabs>
      <w:spacing w:after="1835"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748" w:rsidRDefault="00B76748">
      <w:pPr>
        <w:spacing w:line="240" w:lineRule="auto"/>
      </w:pPr>
      <w:r>
        <w:separator/>
      </w:r>
    </w:p>
  </w:footnote>
  <w:footnote w:type="continuationSeparator" w:id="1">
    <w:p w:rsidR="00B76748" w:rsidRDefault="00B7674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7E" w:rsidRDefault="00AF247E">
    <w:pPr>
      <w:tabs>
        <w:tab w:val="center" w:pos="4680"/>
        <w:tab w:val="right" w:pos="9360"/>
      </w:tabs>
      <w:spacing w:line="240" w:lineRule="auto"/>
    </w:pPr>
  </w:p>
  <w:p w:rsidR="00AF247E" w:rsidRDefault="00AF247E">
    <w:pPr>
      <w:tabs>
        <w:tab w:val="center" w:pos="4680"/>
        <w:tab w:val="right" w:pos="9360"/>
      </w:tabs>
      <w:spacing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BCE"/>
    <w:multiLevelType w:val="multilevel"/>
    <w:tmpl w:val="B2001C16"/>
    <w:lvl w:ilvl="0">
      <w:start w:val="1"/>
      <w:numFmt w:val="lowerLetter"/>
      <w:lvlText w:val="%1)"/>
      <w:lvlJc w:val="left"/>
      <w:pPr>
        <w:ind w:left="483" w:firstLine="1088"/>
      </w:pPr>
      <w:rPr>
        <w:color w:val="000000"/>
      </w:rPr>
    </w:lvl>
    <w:lvl w:ilvl="1">
      <w:start w:val="1"/>
      <w:numFmt w:val="lowerLetter"/>
      <w:lvlText w:val="%2."/>
      <w:lvlJc w:val="left"/>
      <w:pPr>
        <w:ind w:left="1203" w:firstLine="3249"/>
      </w:pPr>
    </w:lvl>
    <w:lvl w:ilvl="2">
      <w:start w:val="1"/>
      <w:numFmt w:val="lowerRoman"/>
      <w:lvlText w:val="%3."/>
      <w:lvlJc w:val="right"/>
      <w:pPr>
        <w:ind w:left="1923" w:firstLine="5589"/>
      </w:pPr>
    </w:lvl>
    <w:lvl w:ilvl="3">
      <w:start w:val="1"/>
      <w:numFmt w:val="decimal"/>
      <w:lvlText w:val="%4."/>
      <w:lvlJc w:val="left"/>
      <w:pPr>
        <w:ind w:left="2643" w:firstLine="7569"/>
      </w:pPr>
    </w:lvl>
    <w:lvl w:ilvl="4">
      <w:start w:val="1"/>
      <w:numFmt w:val="lowerLetter"/>
      <w:lvlText w:val="%5."/>
      <w:lvlJc w:val="left"/>
      <w:pPr>
        <w:ind w:left="3363" w:firstLine="9729"/>
      </w:pPr>
    </w:lvl>
    <w:lvl w:ilvl="5">
      <w:start w:val="1"/>
      <w:numFmt w:val="lowerRoman"/>
      <w:lvlText w:val="%6."/>
      <w:lvlJc w:val="right"/>
      <w:pPr>
        <w:ind w:left="4083" w:firstLine="12069"/>
      </w:pPr>
    </w:lvl>
    <w:lvl w:ilvl="6">
      <w:start w:val="1"/>
      <w:numFmt w:val="decimal"/>
      <w:lvlText w:val="%7."/>
      <w:lvlJc w:val="left"/>
      <w:pPr>
        <w:ind w:left="4803" w:firstLine="14049"/>
      </w:pPr>
    </w:lvl>
    <w:lvl w:ilvl="7">
      <w:start w:val="1"/>
      <w:numFmt w:val="lowerLetter"/>
      <w:lvlText w:val="%8."/>
      <w:lvlJc w:val="left"/>
      <w:pPr>
        <w:ind w:left="5523" w:firstLine="16208"/>
      </w:pPr>
    </w:lvl>
    <w:lvl w:ilvl="8">
      <w:start w:val="1"/>
      <w:numFmt w:val="lowerRoman"/>
      <w:lvlText w:val="%9."/>
      <w:lvlJc w:val="right"/>
      <w:pPr>
        <w:ind w:left="6243" w:firstLine="18549"/>
      </w:pPr>
    </w:lvl>
  </w:abstractNum>
  <w:abstractNum w:abstractNumId="1">
    <w:nsid w:val="24C26FC8"/>
    <w:multiLevelType w:val="multilevel"/>
    <w:tmpl w:val="2A160892"/>
    <w:lvl w:ilvl="0">
      <w:start w:val="1"/>
      <w:numFmt w:val="lowerLetter"/>
      <w:lvlText w:val="%1)"/>
      <w:lvlJc w:val="left"/>
      <w:pPr>
        <w:ind w:left="1260" w:firstLine="2160"/>
      </w:pPr>
    </w:lvl>
    <w:lvl w:ilvl="1">
      <w:start w:val="1"/>
      <w:numFmt w:val="lowerLetter"/>
      <w:lvlText w:val="%2."/>
      <w:lvlJc w:val="left"/>
      <w:pPr>
        <w:ind w:left="1980" w:firstLine="3600"/>
      </w:pPr>
    </w:lvl>
    <w:lvl w:ilvl="2">
      <w:start w:val="1"/>
      <w:numFmt w:val="lowerRoman"/>
      <w:lvlText w:val="%3."/>
      <w:lvlJc w:val="right"/>
      <w:pPr>
        <w:ind w:left="2700" w:firstLine="5220"/>
      </w:pPr>
    </w:lvl>
    <w:lvl w:ilvl="3">
      <w:start w:val="1"/>
      <w:numFmt w:val="decimal"/>
      <w:lvlText w:val="%4."/>
      <w:lvlJc w:val="left"/>
      <w:pPr>
        <w:ind w:left="3420" w:firstLine="6480"/>
      </w:pPr>
    </w:lvl>
    <w:lvl w:ilvl="4">
      <w:start w:val="1"/>
      <w:numFmt w:val="lowerLetter"/>
      <w:lvlText w:val="%5."/>
      <w:lvlJc w:val="left"/>
      <w:pPr>
        <w:ind w:left="4140" w:firstLine="7920"/>
      </w:pPr>
    </w:lvl>
    <w:lvl w:ilvl="5">
      <w:start w:val="1"/>
      <w:numFmt w:val="lowerRoman"/>
      <w:lvlText w:val="%6."/>
      <w:lvlJc w:val="right"/>
      <w:pPr>
        <w:ind w:left="4860" w:firstLine="9540"/>
      </w:pPr>
    </w:lvl>
    <w:lvl w:ilvl="6">
      <w:start w:val="1"/>
      <w:numFmt w:val="decimal"/>
      <w:lvlText w:val="%7."/>
      <w:lvlJc w:val="left"/>
      <w:pPr>
        <w:ind w:left="5580" w:firstLine="10800"/>
      </w:pPr>
    </w:lvl>
    <w:lvl w:ilvl="7">
      <w:start w:val="1"/>
      <w:numFmt w:val="lowerLetter"/>
      <w:lvlText w:val="%8."/>
      <w:lvlJc w:val="left"/>
      <w:pPr>
        <w:ind w:left="6300" w:firstLine="12240"/>
      </w:pPr>
    </w:lvl>
    <w:lvl w:ilvl="8">
      <w:start w:val="1"/>
      <w:numFmt w:val="lowerRoman"/>
      <w:lvlText w:val="%9."/>
      <w:lvlJc w:val="right"/>
      <w:pPr>
        <w:ind w:left="7020" w:firstLine="13860"/>
      </w:pPr>
    </w:lvl>
  </w:abstractNum>
  <w:abstractNum w:abstractNumId="2">
    <w:nsid w:val="30F15A68"/>
    <w:multiLevelType w:val="multilevel"/>
    <w:tmpl w:val="453EC59A"/>
    <w:lvl w:ilvl="0">
      <w:start w:val="1"/>
      <w:numFmt w:val="lowerLetter"/>
      <w:lvlText w:val="%1)"/>
      <w:lvlJc w:val="left"/>
      <w:pPr>
        <w:ind w:left="1570" w:firstLine="2780"/>
      </w:pPr>
    </w:lvl>
    <w:lvl w:ilvl="1">
      <w:start w:val="1"/>
      <w:numFmt w:val="lowerLetter"/>
      <w:lvlText w:val="%2."/>
      <w:lvlJc w:val="left"/>
      <w:pPr>
        <w:ind w:left="2290" w:firstLine="4220"/>
      </w:pPr>
    </w:lvl>
    <w:lvl w:ilvl="2">
      <w:start w:val="1"/>
      <w:numFmt w:val="lowerRoman"/>
      <w:lvlText w:val="%3."/>
      <w:lvlJc w:val="right"/>
      <w:pPr>
        <w:ind w:left="3010" w:firstLine="5840"/>
      </w:pPr>
    </w:lvl>
    <w:lvl w:ilvl="3">
      <w:start w:val="1"/>
      <w:numFmt w:val="decimal"/>
      <w:lvlText w:val="%4."/>
      <w:lvlJc w:val="left"/>
      <w:pPr>
        <w:ind w:left="3730" w:firstLine="7100"/>
      </w:pPr>
    </w:lvl>
    <w:lvl w:ilvl="4">
      <w:start w:val="1"/>
      <w:numFmt w:val="lowerLetter"/>
      <w:lvlText w:val="%5."/>
      <w:lvlJc w:val="left"/>
      <w:pPr>
        <w:ind w:left="4450" w:firstLine="8540"/>
      </w:pPr>
    </w:lvl>
    <w:lvl w:ilvl="5">
      <w:start w:val="1"/>
      <w:numFmt w:val="lowerRoman"/>
      <w:lvlText w:val="%6."/>
      <w:lvlJc w:val="right"/>
      <w:pPr>
        <w:ind w:left="5170" w:firstLine="10160"/>
      </w:pPr>
    </w:lvl>
    <w:lvl w:ilvl="6">
      <w:start w:val="1"/>
      <w:numFmt w:val="decimal"/>
      <w:lvlText w:val="%7."/>
      <w:lvlJc w:val="left"/>
      <w:pPr>
        <w:ind w:left="5890" w:firstLine="11420"/>
      </w:pPr>
    </w:lvl>
    <w:lvl w:ilvl="7">
      <w:start w:val="1"/>
      <w:numFmt w:val="lowerLetter"/>
      <w:lvlText w:val="%8."/>
      <w:lvlJc w:val="left"/>
      <w:pPr>
        <w:ind w:left="6610" w:firstLine="12860"/>
      </w:pPr>
    </w:lvl>
    <w:lvl w:ilvl="8">
      <w:start w:val="1"/>
      <w:numFmt w:val="lowerRoman"/>
      <w:lvlText w:val="%9."/>
      <w:lvlJc w:val="right"/>
      <w:pPr>
        <w:ind w:left="7330" w:firstLine="14480"/>
      </w:pPr>
    </w:lvl>
  </w:abstractNum>
  <w:abstractNum w:abstractNumId="3">
    <w:nsid w:val="43740C83"/>
    <w:multiLevelType w:val="multilevel"/>
    <w:tmpl w:val="50E4B426"/>
    <w:lvl w:ilvl="0">
      <w:start w:val="1"/>
      <w:numFmt w:val="lowerLetter"/>
      <w:lvlText w:val="%1)"/>
      <w:lvlJc w:val="left"/>
      <w:pPr>
        <w:ind w:left="483" w:firstLine="1088"/>
      </w:pPr>
      <w:rPr>
        <w:color w:val="000000"/>
      </w:rPr>
    </w:lvl>
    <w:lvl w:ilvl="1">
      <w:start w:val="1"/>
      <w:numFmt w:val="lowerLetter"/>
      <w:lvlText w:val="%2."/>
      <w:lvlJc w:val="left"/>
      <w:pPr>
        <w:ind w:left="1203" w:firstLine="3249"/>
      </w:pPr>
    </w:lvl>
    <w:lvl w:ilvl="2">
      <w:start w:val="1"/>
      <w:numFmt w:val="lowerRoman"/>
      <w:lvlText w:val="%3."/>
      <w:lvlJc w:val="right"/>
      <w:pPr>
        <w:ind w:left="1923" w:firstLine="5589"/>
      </w:pPr>
    </w:lvl>
    <w:lvl w:ilvl="3">
      <w:start w:val="1"/>
      <w:numFmt w:val="decimal"/>
      <w:lvlText w:val="%4."/>
      <w:lvlJc w:val="left"/>
      <w:pPr>
        <w:ind w:left="2643" w:firstLine="7569"/>
      </w:pPr>
    </w:lvl>
    <w:lvl w:ilvl="4">
      <w:start w:val="1"/>
      <w:numFmt w:val="lowerLetter"/>
      <w:lvlText w:val="%5."/>
      <w:lvlJc w:val="left"/>
      <w:pPr>
        <w:ind w:left="3363" w:firstLine="9729"/>
      </w:pPr>
    </w:lvl>
    <w:lvl w:ilvl="5">
      <w:start w:val="1"/>
      <w:numFmt w:val="lowerRoman"/>
      <w:lvlText w:val="%6."/>
      <w:lvlJc w:val="right"/>
      <w:pPr>
        <w:ind w:left="4083" w:firstLine="12069"/>
      </w:pPr>
    </w:lvl>
    <w:lvl w:ilvl="6">
      <w:start w:val="1"/>
      <w:numFmt w:val="decimal"/>
      <w:lvlText w:val="%7."/>
      <w:lvlJc w:val="left"/>
      <w:pPr>
        <w:ind w:left="4803" w:firstLine="14049"/>
      </w:pPr>
    </w:lvl>
    <w:lvl w:ilvl="7">
      <w:start w:val="1"/>
      <w:numFmt w:val="lowerLetter"/>
      <w:lvlText w:val="%8."/>
      <w:lvlJc w:val="left"/>
      <w:pPr>
        <w:ind w:left="5523" w:firstLine="16208"/>
      </w:pPr>
    </w:lvl>
    <w:lvl w:ilvl="8">
      <w:start w:val="1"/>
      <w:numFmt w:val="lowerRoman"/>
      <w:lvlText w:val="%9."/>
      <w:lvlJc w:val="right"/>
      <w:pPr>
        <w:ind w:left="6243" w:firstLine="18549"/>
      </w:pPr>
    </w:lvl>
  </w:abstractNum>
  <w:abstractNum w:abstractNumId="4">
    <w:nsid w:val="4E696917"/>
    <w:multiLevelType w:val="multilevel"/>
    <w:tmpl w:val="D2E65D50"/>
    <w:lvl w:ilvl="0">
      <w:start w:val="1"/>
      <w:numFmt w:val="lowerLetter"/>
      <w:lvlText w:val="%1)"/>
      <w:lvlJc w:val="left"/>
      <w:pPr>
        <w:ind w:left="845" w:hanging="360"/>
      </w:p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5">
    <w:nsid w:val="54E3501B"/>
    <w:multiLevelType w:val="multilevel"/>
    <w:tmpl w:val="BC30258C"/>
    <w:lvl w:ilvl="0">
      <w:start w:val="1"/>
      <w:numFmt w:val="bullet"/>
      <w:lvlText w:val="-"/>
      <w:lvlJc w:val="left"/>
      <w:pPr>
        <w:ind w:left="540" w:firstLine="1260"/>
      </w:pPr>
      <w:rPr>
        <w:rFonts w:ascii="Arial" w:eastAsia="Arial" w:hAnsi="Arial" w:cs="Arial"/>
        <w:b/>
      </w:rPr>
    </w:lvl>
    <w:lvl w:ilvl="1">
      <w:start w:val="1"/>
      <w:numFmt w:val="bullet"/>
      <w:lvlText w:val="o"/>
      <w:lvlJc w:val="left"/>
      <w:pPr>
        <w:ind w:left="1260" w:firstLine="3420"/>
      </w:pPr>
      <w:rPr>
        <w:rFonts w:ascii="Arial" w:eastAsia="Arial" w:hAnsi="Arial" w:cs="Arial"/>
      </w:rPr>
    </w:lvl>
    <w:lvl w:ilvl="2">
      <w:start w:val="1"/>
      <w:numFmt w:val="bullet"/>
      <w:lvlText w:val="▪"/>
      <w:lvlJc w:val="left"/>
      <w:pPr>
        <w:ind w:left="1980" w:firstLine="5580"/>
      </w:pPr>
      <w:rPr>
        <w:rFonts w:ascii="Arial" w:eastAsia="Arial" w:hAnsi="Arial" w:cs="Arial"/>
      </w:rPr>
    </w:lvl>
    <w:lvl w:ilvl="3">
      <w:start w:val="1"/>
      <w:numFmt w:val="bullet"/>
      <w:lvlText w:val="●"/>
      <w:lvlJc w:val="left"/>
      <w:pPr>
        <w:ind w:left="2700" w:firstLine="7740"/>
      </w:pPr>
      <w:rPr>
        <w:rFonts w:ascii="Arial" w:eastAsia="Arial" w:hAnsi="Arial" w:cs="Arial"/>
      </w:rPr>
    </w:lvl>
    <w:lvl w:ilvl="4">
      <w:start w:val="1"/>
      <w:numFmt w:val="bullet"/>
      <w:lvlText w:val="o"/>
      <w:lvlJc w:val="left"/>
      <w:pPr>
        <w:ind w:left="3420" w:firstLine="9900"/>
      </w:pPr>
      <w:rPr>
        <w:rFonts w:ascii="Arial" w:eastAsia="Arial" w:hAnsi="Arial" w:cs="Arial"/>
      </w:rPr>
    </w:lvl>
    <w:lvl w:ilvl="5">
      <w:start w:val="1"/>
      <w:numFmt w:val="bullet"/>
      <w:lvlText w:val="▪"/>
      <w:lvlJc w:val="left"/>
      <w:pPr>
        <w:ind w:left="4140" w:firstLine="12060"/>
      </w:pPr>
      <w:rPr>
        <w:rFonts w:ascii="Arial" w:eastAsia="Arial" w:hAnsi="Arial" w:cs="Arial"/>
      </w:rPr>
    </w:lvl>
    <w:lvl w:ilvl="6">
      <w:start w:val="1"/>
      <w:numFmt w:val="bullet"/>
      <w:lvlText w:val="●"/>
      <w:lvlJc w:val="left"/>
      <w:pPr>
        <w:ind w:left="4860" w:firstLine="14220"/>
      </w:pPr>
      <w:rPr>
        <w:rFonts w:ascii="Arial" w:eastAsia="Arial" w:hAnsi="Arial" w:cs="Arial"/>
      </w:rPr>
    </w:lvl>
    <w:lvl w:ilvl="7">
      <w:start w:val="1"/>
      <w:numFmt w:val="bullet"/>
      <w:lvlText w:val="o"/>
      <w:lvlJc w:val="left"/>
      <w:pPr>
        <w:ind w:left="5580" w:firstLine="16380"/>
      </w:pPr>
      <w:rPr>
        <w:rFonts w:ascii="Arial" w:eastAsia="Arial" w:hAnsi="Arial" w:cs="Arial"/>
      </w:rPr>
    </w:lvl>
    <w:lvl w:ilvl="8">
      <w:start w:val="1"/>
      <w:numFmt w:val="bullet"/>
      <w:lvlText w:val="▪"/>
      <w:lvlJc w:val="left"/>
      <w:pPr>
        <w:ind w:left="6300" w:firstLine="18540"/>
      </w:pPr>
      <w:rPr>
        <w:rFonts w:ascii="Arial" w:eastAsia="Arial" w:hAnsi="Arial" w:cs="Arial"/>
      </w:rPr>
    </w:lvl>
  </w:abstractNum>
  <w:abstractNum w:abstractNumId="6">
    <w:nsid w:val="56C765ED"/>
    <w:multiLevelType w:val="multilevel"/>
    <w:tmpl w:val="07DE4B44"/>
    <w:lvl w:ilvl="0">
      <w:start w:val="1"/>
      <w:numFmt w:val="lowerLetter"/>
      <w:lvlText w:val="%1)"/>
      <w:lvlJc w:val="left"/>
      <w:pPr>
        <w:ind w:left="483" w:firstLine="1088"/>
      </w:pPr>
      <w:rPr>
        <w:color w:val="000000"/>
      </w:rPr>
    </w:lvl>
    <w:lvl w:ilvl="1">
      <w:start w:val="1"/>
      <w:numFmt w:val="lowerLetter"/>
      <w:lvlText w:val="%2."/>
      <w:lvlJc w:val="left"/>
      <w:pPr>
        <w:ind w:left="1203" w:firstLine="3249"/>
      </w:pPr>
    </w:lvl>
    <w:lvl w:ilvl="2">
      <w:start w:val="1"/>
      <w:numFmt w:val="lowerRoman"/>
      <w:lvlText w:val="%3."/>
      <w:lvlJc w:val="right"/>
      <w:pPr>
        <w:ind w:left="1923" w:firstLine="5589"/>
      </w:pPr>
    </w:lvl>
    <w:lvl w:ilvl="3">
      <w:start w:val="1"/>
      <w:numFmt w:val="decimal"/>
      <w:lvlText w:val="%4."/>
      <w:lvlJc w:val="left"/>
      <w:pPr>
        <w:ind w:left="2643" w:firstLine="7569"/>
      </w:pPr>
    </w:lvl>
    <w:lvl w:ilvl="4">
      <w:start w:val="1"/>
      <w:numFmt w:val="lowerLetter"/>
      <w:lvlText w:val="%5."/>
      <w:lvlJc w:val="left"/>
      <w:pPr>
        <w:ind w:left="3363" w:firstLine="9729"/>
      </w:pPr>
    </w:lvl>
    <w:lvl w:ilvl="5">
      <w:start w:val="1"/>
      <w:numFmt w:val="lowerRoman"/>
      <w:lvlText w:val="%6."/>
      <w:lvlJc w:val="right"/>
      <w:pPr>
        <w:ind w:left="4083" w:firstLine="12069"/>
      </w:pPr>
    </w:lvl>
    <w:lvl w:ilvl="6">
      <w:start w:val="1"/>
      <w:numFmt w:val="decimal"/>
      <w:lvlText w:val="%7."/>
      <w:lvlJc w:val="left"/>
      <w:pPr>
        <w:ind w:left="4803" w:firstLine="14049"/>
      </w:pPr>
    </w:lvl>
    <w:lvl w:ilvl="7">
      <w:start w:val="1"/>
      <w:numFmt w:val="lowerLetter"/>
      <w:lvlText w:val="%8."/>
      <w:lvlJc w:val="left"/>
      <w:pPr>
        <w:ind w:left="5523" w:firstLine="16208"/>
      </w:pPr>
    </w:lvl>
    <w:lvl w:ilvl="8">
      <w:start w:val="1"/>
      <w:numFmt w:val="lowerRoman"/>
      <w:lvlText w:val="%9."/>
      <w:lvlJc w:val="right"/>
      <w:pPr>
        <w:ind w:left="6243" w:firstLine="18549"/>
      </w:pPr>
    </w:lvl>
  </w:abstractNum>
  <w:abstractNum w:abstractNumId="7">
    <w:nsid w:val="6CBE76D0"/>
    <w:multiLevelType w:val="multilevel"/>
    <w:tmpl w:val="B5B675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A607869"/>
    <w:multiLevelType w:val="multilevel"/>
    <w:tmpl w:val="6CFA3A9C"/>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nsid w:val="7F802B69"/>
    <w:multiLevelType w:val="multilevel"/>
    <w:tmpl w:val="520615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7"/>
  </w:num>
  <w:num w:numId="6">
    <w:abstractNumId w:val="9"/>
  </w:num>
  <w:num w:numId="7">
    <w:abstractNumId w:val="4"/>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hideSpellingErrors/>
  <w:defaultTabStop w:val="720"/>
  <w:characterSpacingControl w:val="doNotCompress"/>
  <w:footnotePr>
    <w:footnote w:id="0"/>
    <w:footnote w:id="1"/>
  </w:footnotePr>
  <w:endnotePr>
    <w:endnote w:id="0"/>
    <w:endnote w:id="1"/>
  </w:endnotePr>
  <w:compat/>
  <w:rsids>
    <w:rsidRoot w:val="00AF247E"/>
    <w:rsid w:val="00221D61"/>
    <w:rsid w:val="003847EA"/>
    <w:rsid w:val="00462AAF"/>
    <w:rsid w:val="00756B9A"/>
    <w:rsid w:val="00882B6D"/>
    <w:rsid w:val="00A036F0"/>
    <w:rsid w:val="00AF247E"/>
    <w:rsid w:val="00B76748"/>
    <w:rsid w:val="00F93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1D61"/>
  </w:style>
  <w:style w:type="paragraph" w:styleId="Heading1">
    <w:name w:val="heading 1"/>
    <w:basedOn w:val="Normal"/>
    <w:next w:val="Normal"/>
    <w:rsid w:val="00221D61"/>
    <w:pPr>
      <w:keepNext/>
      <w:keepLines/>
      <w:spacing w:before="480" w:after="120"/>
      <w:contextualSpacing/>
      <w:outlineLvl w:val="0"/>
    </w:pPr>
    <w:rPr>
      <w:b/>
      <w:sz w:val="48"/>
      <w:szCs w:val="48"/>
    </w:rPr>
  </w:style>
  <w:style w:type="paragraph" w:styleId="Heading2">
    <w:name w:val="heading 2"/>
    <w:basedOn w:val="Normal"/>
    <w:next w:val="Normal"/>
    <w:rsid w:val="00221D61"/>
    <w:pPr>
      <w:keepNext/>
      <w:keepLines/>
      <w:spacing w:before="360" w:after="80"/>
      <w:contextualSpacing/>
      <w:outlineLvl w:val="1"/>
    </w:pPr>
    <w:rPr>
      <w:b/>
      <w:sz w:val="36"/>
      <w:szCs w:val="36"/>
    </w:rPr>
  </w:style>
  <w:style w:type="paragraph" w:styleId="Heading3">
    <w:name w:val="heading 3"/>
    <w:basedOn w:val="Normal"/>
    <w:next w:val="Normal"/>
    <w:rsid w:val="00221D61"/>
    <w:pPr>
      <w:keepNext/>
      <w:keepLines/>
      <w:spacing w:before="280" w:after="80"/>
      <w:contextualSpacing/>
      <w:outlineLvl w:val="2"/>
    </w:pPr>
    <w:rPr>
      <w:b/>
      <w:sz w:val="28"/>
      <w:szCs w:val="28"/>
    </w:rPr>
  </w:style>
  <w:style w:type="paragraph" w:styleId="Heading4">
    <w:name w:val="heading 4"/>
    <w:basedOn w:val="Normal"/>
    <w:next w:val="Normal"/>
    <w:rsid w:val="00221D61"/>
    <w:pPr>
      <w:keepNext/>
      <w:keepLines/>
      <w:spacing w:before="240" w:after="40"/>
      <w:contextualSpacing/>
      <w:outlineLvl w:val="3"/>
    </w:pPr>
    <w:rPr>
      <w:b/>
      <w:sz w:val="24"/>
      <w:szCs w:val="24"/>
    </w:rPr>
  </w:style>
  <w:style w:type="paragraph" w:styleId="Heading5">
    <w:name w:val="heading 5"/>
    <w:basedOn w:val="Normal"/>
    <w:next w:val="Normal"/>
    <w:rsid w:val="00221D61"/>
    <w:pPr>
      <w:keepNext/>
      <w:keepLines/>
      <w:spacing w:before="220" w:after="40"/>
      <w:contextualSpacing/>
      <w:outlineLvl w:val="4"/>
    </w:pPr>
    <w:rPr>
      <w:b/>
    </w:rPr>
  </w:style>
  <w:style w:type="paragraph" w:styleId="Heading6">
    <w:name w:val="heading 6"/>
    <w:basedOn w:val="Normal"/>
    <w:next w:val="Normal"/>
    <w:rsid w:val="00221D6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1D61"/>
    <w:pPr>
      <w:keepNext/>
      <w:keepLines/>
      <w:spacing w:before="480" w:after="120"/>
      <w:contextualSpacing/>
    </w:pPr>
    <w:rPr>
      <w:b/>
      <w:sz w:val="72"/>
      <w:szCs w:val="72"/>
    </w:rPr>
  </w:style>
  <w:style w:type="paragraph" w:styleId="Subtitle">
    <w:name w:val="Subtitle"/>
    <w:basedOn w:val="Normal"/>
    <w:next w:val="Normal"/>
    <w:rsid w:val="00221D6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221D61"/>
    <w:pPr>
      <w:spacing w:line="240" w:lineRule="auto"/>
    </w:pPr>
    <w:rPr>
      <w:sz w:val="24"/>
      <w:szCs w:val="24"/>
    </w:rPr>
  </w:style>
  <w:style w:type="character" w:customStyle="1" w:styleId="CommentTextChar">
    <w:name w:val="Comment Text Char"/>
    <w:basedOn w:val="DefaultParagraphFont"/>
    <w:link w:val="CommentText"/>
    <w:uiPriority w:val="99"/>
    <w:semiHidden/>
    <w:rsid w:val="00221D61"/>
    <w:rPr>
      <w:sz w:val="24"/>
      <w:szCs w:val="24"/>
    </w:rPr>
  </w:style>
  <w:style w:type="character" w:styleId="CommentReference">
    <w:name w:val="annotation reference"/>
    <w:basedOn w:val="DefaultParagraphFont"/>
    <w:uiPriority w:val="99"/>
    <w:semiHidden/>
    <w:unhideWhenUsed/>
    <w:rsid w:val="00221D61"/>
    <w:rPr>
      <w:sz w:val="18"/>
      <w:szCs w:val="18"/>
    </w:rPr>
  </w:style>
  <w:style w:type="paragraph" w:styleId="BalloonText">
    <w:name w:val="Balloon Text"/>
    <w:basedOn w:val="Normal"/>
    <w:link w:val="BalloonTextChar"/>
    <w:uiPriority w:val="99"/>
    <w:semiHidden/>
    <w:unhideWhenUsed/>
    <w:rsid w:val="00882B6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B6D"/>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 Cretzan</dc:creator>
  <cp:lastModifiedBy>Sandu</cp:lastModifiedBy>
  <cp:revision>2</cp:revision>
  <dcterms:created xsi:type="dcterms:W3CDTF">2018-05-24T05:03:00Z</dcterms:created>
  <dcterms:modified xsi:type="dcterms:W3CDTF">2018-05-24T05:03:00Z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636309440</vt:i4>
  </property>
  <property fmtid="{D5CDD505-2E9C-101B-9397-08002B2CF9AE}" pid="3" name="_NewReviewCycle">
    <vt:lpwstr/>
  </property>
  <property fmtid="{D5CDD505-2E9C-101B-9397-08002B2CF9AE}" pid="4" name="_EmailSubject">
    <vt:lpwstr>lege</vt:lpwstr>
  </property>
  <property fmtid="{D5CDD505-2E9C-101B-9397-08002B2CF9AE}" pid="5" name="_AuthorEmail">
    <vt:lpwstr>cristi.cretzan@herrc.com</vt:lpwstr>
  </property>
  <property fmtid="{D5CDD505-2E9C-101B-9397-08002B2CF9AE}" pid="6" name="_AuthorEmailDisplayName">
    <vt:lpwstr>Cristi Cretzan</vt:lpwstr>
  </property>
  <property fmtid="{D5CDD505-2E9C-101B-9397-08002B2CF9AE}" pid="7" name="_ReviewingToolsShownOnce">
    <vt:lpwstr/>
  </property>
</Properties>
</file>