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35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Anexa 1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- Exemple tarife:</w:t>
      </w:r>
    </w:p>
    <w:p w:rsidR="00000000" w:rsidDel="00000000" w:rsidP="00000000" w:rsidRDefault="00000000" w:rsidRPr="00000000" w14:paraId="00000003">
      <w:pPr>
        <w:tabs>
          <w:tab w:val="left" w:pos="2835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6.0" w:type="dxa"/>
        <w:jc w:val="left"/>
        <w:tblInd w:w="-10.0" w:type="dxa"/>
        <w:tblLayout w:type="fixed"/>
        <w:tblLook w:val="0400"/>
      </w:tblPr>
      <w:tblGrid>
        <w:gridCol w:w="3261"/>
        <w:gridCol w:w="1060"/>
        <w:gridCol w:w="1809"/>
        <w:gridCol w:w="1134"/>
        <w:gridCol w:w="1842"/>
        <w:tblGridChange w:id="0">
          <w:tblGrid>
            <w:gridCol w:w="3261"/>
            <w:gridCol w:w="1060"/>
            <w:gridCol w:w="1809"/>
            <w:gridCol w:w="1134"/>
            <w:gridCol w:w="1842"/>
          </w:tblGrid>
        </w:tblGridChange>
      </w:tblGrid>
      <w:tr>
        <w:trPr>
          <w:trHeight w:val="337" w:hRule="atLeast"/>
        </w:trPr>
        <w:tc>
          <w:tcPr>
            <w:vMerge w:val="restart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Rute</w:t>
            </w:r>
          </w:p>
        </w:tc>
        <w:tc>
          <w:tcPr>
            <w:gridSpan w:val="2"/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Preț 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, cu tarif rezervare loc, cls.a 2-a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Copil - Preț 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, cu tarif rezervare loc, cls.a 2-a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vMerge w:val="continue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Tarif întreg/lei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Cu oferta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rtl w:val="0"/>
              </w:rPr>
              <w:t xml:space="preserve"> Trenurile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Zăpezii/lei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Tarif întreg/lei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7e007e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Cu oferta </w:t>
            </w:r>
          </w:p>
          <w:p w:rsidR="00000000" w:rsidDel="00000000" w:rsidP="00000000" w:rsidRDefault="00000000" w:rsidRPr="00000000" w14:paraId="0000000E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rtl w:val="0"/>
              </w:rPr>
              <w:t xml:space="preserve">Trenurile Zăpezii, lei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București – Predeal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17,25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București – Vatra Dornei Băi hc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40,30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Cluj Napoca – Vatra Dornei Băi hc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24,80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Timișoara – Vatra Dornei Băi hc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40,30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Iași –  Vatra Dornei Băi hc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27,30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Galați – Vatra Dornei Băi hc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40,30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București – Brașov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20,70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Constanța – Brașov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32,20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Galați – Brașov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29,70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Sibiu – Brașov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19,05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Sibiu – Azuga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22,10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Satu Mare – Predeal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44,05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Baia Mare – Predeal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40,30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Cluj Napoca – Predeal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7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32,20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Târgu Mureș – Predeal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835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29,70</w:t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Exemplele de tarife sunt valabile de la data de 0 4 ianuarie 2021 şi INCLUD şi tariful de rezervare a locului care este 3,9 lei.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Oferta comercială “Trenurile Zăpezii 2021” cu reducere de 25% se aplică la tariful de adult şi copil pentru trenuri Interregio clasa a II-a şi nu se cumulează cu alte oferte.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7BD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qFormat w:val="1"/>
    <w:rsid w:val="00947BD6"/>
    <w:rPr>
      <w:color w:val="0563c1" w:themeColor="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947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RsRSDf1t1dKF3mHfUsUt3IfQ==">AMUW2mW2TIlCn8zwGGJuPnvPk7xgj9ImwgFmuHsfOdJtST2grM24VzH6oRwMXepdLWd0iLG0nhco5Iu3HOeOt4hpvGEChbJE7AZ1aJYyIeavteAA9IBg7o7BMVHQbg/5N1pXIyigFbRz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2020-12-29T06:04:00Z</dcterms:created>
  <dc:creator>BOLINA, Cornelia</dc:creator>
</cp:coreProperties>
</file>